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515B4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21-22-2</w:t>
                            </w:r>
                            <w:r w:rsidR="00961928">
                              <w:rPr>
                                <w:rFonts w:ascii="Century" w:hAnsi="Century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515B4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21-22-2</w:t>
                      </w:r>
                      <w:r w:rsidR="00961928">
                        <w:rPr>
                          <w:rFonts w:ascii="Century" w:hAnsi="Century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515B4D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01D6A">
                              <w:rPr>
                                <w:rFonts w:ascii="Century" w:hAnsi="Century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.1</w:t>
                            </w:r>
                            <w:r w:rsidR="00E01D6A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515B4D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01D6A">
                        <w:rPr>
                          <w:rFonts w:ascii="Century" w:hAnsi="Century"/>
                          <w:sz w:val="28"/>
                        </w:rPr>
                        <w:t>7</w:t>
                      </w:r>
                      <w:r>
                        <w:rPr>
                          <w:rFonts w:ascii="Century" w:hAnsi="Century"/>
                          <w:sz w:val="28"/>
                        </w:rPr>
                        <w:t>.1</w:t>
                      </w:r>
                      <w:r w:rsidR="00E01D6A"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03E4" w:rsidRPr="008B7783" w:rsidRDefault="00515B4D" w:rsidP="00A01B77">
      <w:pPr>
        <w:tabs>
          <w:tab w:val="center" w:pos="5385"/>
          <w:tab w:val="left" w:pos="7965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A01B77">
        <w:rPr>
          <w:rFonts w:ascii="Century" w:hAnsi="Century"/>
          <w:b/>
          <w:spacing w:val="24"/>
          <w:sz w:val="28"/>
          <w:szCs w:val="26"/>
        </w:rPr>
        <w:t>М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еждународный конкурс </w:t>
      </w:r>
      <w:r w:rsidR="00E01D6A">
        <w:rPr>
          <w:rFonts w:ascii="Century" w:hAnsi="Century"/>
          <w:b/>
          <w:spacing w:val="24"/>
          <w:sz w:val="28"/>
          <w:szCs w:val="26"/>
        </w:rPr>
        <w:t>профессионального мастерства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A01B77">
        <w:rPr>
          <w:rFonts w:ascii="Century" w:hAnsi="Century"/>
          <w:b/>
          <w:spacing w:val="24"/>
          <w:sz w:val="28"/>
          <w:szCs w:val="26"/>
        </w:rPr>
        <w:t>«</w:t>
      </w:r>
      <w:bookmarkStart w:id="0" w:name="_GoBack"/>
      <w:r w:rsidR="00E01D6A">
        <w:rPr>
          <w:rFonts w:ascii="Century" w:hAnsi="Century"/>
          <w:b/>
          <w:spacing w:val="24"/>
          <w:sz w:val="28"/>
          <w:szCs w:val="26"/>
        </w:rPr>
        <w:t>Технологии обучения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</w:t>
      </w:r>
      <w:bookmarkEnd w:id="0"/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и </w:t>
      </w:r>
      <w:r w:rsidR="00E01D6A">
        <w:rPr>
          <w:rFonts w:ascii="Century" w:hAnsi="Century"/>
          <w:b/>
          <w:spacing w:val="24"/>
          <w:sz w:val="28"/>
          <w:szCs w:val="26"/>
        </w:rPr>
        <w:t>педагогические практики</w:t>
      </w:r>
      <w:r w:rsidR="00A01B77">
        <w:rPr>
          <w:rFonts w:ascii="Century" w:hAnsi="Century"/>
          <w:b/>
          <w:spacing w:val="24"/>
          <w:sz w:val="28"/>
          <w:szCs w:val="26"/>
        </w:rPr>
        <w:t>»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515B4D" w:rsidRPr="00515B4D">
        <w:rPr>
          <w:rFonts w:ascii="Century" w:hAnsi="Century"/>
          <w:b/>
          <w:sz w:val="24"/>
          <w:szCs w:val="24"/>
        </w:rPr>
        <w:t>2</w:t>
      </w:r>
      <w:r w:rsidR="00E01D6A">
        <w:rPr>
          <w:rFonts w:ascii="Century" w:hAnsi="Century"/>
          <w:b/>
          <w:sz w:val="24"/>
          <w:szCs w:val="24"/>
        </w:rPr>
        <w:t>7</w:t>
      </w:r>
      <w:r w:rsidR="00515B4D" w:rsidRPr="00515B4D">
        <w:rPr>
          <w:rFonts w:ascii="Century" w:hAnsi="Century"/>
          <w:b/>
          <w:sz w:val="24"/>
          <w:szCs w:val="24"/>
        </w:rPr>
        <w:t xml:space="preserve"> </w:t>
      </w:r>
      <w:r w:rsidR="00E01D6A">
        <w:rPr>
          <w:rFonts w:ascii="Century" w:hAnsi="Century"/>
          <w:b/>
          <w:sz w:val="24"/>
          <w:szCs w:val="24"/>
        </w:rPr>
        <w:t>декабря</w:t>
      </w:r>
      <w:r w:rsidRPr="00DF3A98">
        <w:rPr>
          <w:rFonts w:ascii="Century" w:hAnsi="Century"/>
          <w:b/>
          <w:sz w:val="24"/>
          <w:szCs w:val="24"/>
        </w:rPr>
        <w:t xml:space="preserve"> 2021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E01D6A">
        <w:rPr>
          <w:rFonts w:ascii="Century" w:hAnsi="Century"/>
          <w:b/>
          <w:sz w:val="24"/>
          <w:szCs w:val="24"/>
        </w:rPr>
        <w:t>20 января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A01B77" w:rsidRDefault="00A01B77" w:rsidP="00A01B77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E01D6A">
        <w:rPr>
          <w:rFonts w:ascii="Century" w:hAnsi="Century"/>
          <w:b/>
          <w:sz w:val="24"/>
          <w:szCs w:val="24"/>
        </w:rPr>
        <w:t>20 января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D965BB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C24D54" w:rsidRPr="00C24D54">
        <w:rPr>
          <w:rFonts w:ascii="Century" w:hAnsi="Century"/>
          <w:sz w:val="24"/>
          <w:szCs w:val="24"/>
        </w:rPr>
        <w:t>Международн</w:t>
      </w:r>
      <w:r w:rsidR="00C24D54">
        <w:rPr>
          <w:rFonts w:ascii="Century" w:hAnsi="Century"/>
          <w:sz w:val="24"/>
          <w:szCs w:val="24"/>
        </w:rPr>
        <w:t>ом</w:t>
      </w:r>
      <w:r w:rsidR="00C24D54" w:rsidRPr="00C24D54">
        <w:rPr>
          <w:rFonts w:ascii="Century" w:hAnsi="Century"/>
          <w:sz w:val="24"/>
          <w:szCs w:val="24"/>
        </w:rPr>
        <w:t xml:space="preserve"> конкурс</w:t>
      </w:r>
      <w:r w:rsidR="00C24D54">
        <w:rPr>
          <w:rFonts w:ascii="Century" w:hAnsi="Century"/>
          <w:sz w:val="24"/>
          <w:szCs w:val="24"/>
        </w:rPr>
        <w:t>е</w:t>
      </w:r>
      <w:r w:rsidR="00E01D6A">
        <w:rPr>
          <w:rFonts w:ascii="Century" w:hAnsi="Century"/>
          <w:sz w:val="24"/>
          <w:szCs w:val="24"/>
        </w:rPr>
        <w:t xml:space="preserve"> </w:t>
      </w:r>
      <w:r w:rsidR="00E01D6A" w:rsidRPr="00C24D54">
        <w:rPr>
          <w:rFonts w:ascii="Century" w:hAnsi="Century"/>
          <w:sz w:val="24"/>
          <w:szCs w:val="24"/>
        </w:rPr>
        <w:t>профессиональн</w:t>
      </w:r>
      <w:r w:rsidR="00E01D6A">
        <w:rPr>
          <w:rFonts w:ascii="Century" w:hAnsi="Century"/>
          <w:sz w:val="24"/>
          <w:szCs w:val="24"/>
        </w:rPr>
        <w:t>ого</w:t>
      </w:r>
      <w:r w:rsidR="00C24D54" w:rsidRPr="00C24D54">
        <w:rPr>
          <w:rFonts w:ascii="Century" w:hAnsi="Century"/>
          <w:sz w:val="24"/>
          <w:szCs w:val="24"/>
        </w:rPr>
        <w:t xml:space="preserve"> </w:t>
      </w:r>
      <w:r w:rsidR="00E01D6A">
        <w:rPr>
          <w:rFonts w:ascii="Century" w:hAnsi="Century"/>
          <w:sz w:val="24"/>
          <w:szCs w:val="24"/>
        </w:rPr>
        <w:t xml:space="preserve">мастерства </w:t>
      </w:r>
      <w:r w:rsidR="00C24D54" w:rsidRPr="00C24D54">
        <w:rPr>
          <w:rFonts w:ascii="Century" w:hAnsi="Century"/>
          <w:sz w:val="24"/>
          <w:szCs w:val="24"/>
        </w:rPr>
        <w:t>«</w:t>
      </w:r>
      <w:r w:rsidR="00E01D6A" w:rsidRPr="00E01D6A">
        <w:rPr>
          <w:rFonts w:ascii="Century" w:hAnsi="Century"/>
          <w:sz w:val="24"/>
          <w:szCs w:val="24"/>
        </w:rPr>
        <w:t>Технологии обучения и педагогические практики</w:t>
      </w:r>
      <w:r w:rsidR="00C24D54" w:rsidRPr="00C24D54">
        <w:rPr>
          <w:rFonts w:ascii="Century" w:hAnsi="Century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E01D6A">
        <w:rPr>
          <w:rFonts w:ascii="Century" w:hAnsi="Century"/>
          <w:b/>
          <w:sz w:val="24"/>
          <w:szCs w:val="24"/>
        </w:rPr>
        <w:t>20 января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опубликование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1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21-22-</w:t>
      </w:r>
      <w:r w:rsidR="002214CA">
        <w:rPr>
          <w:rFonts w:ascii="Century" w:hAnsi="Century"/>
          <w:sz w:val="22"/>
        </w:rPr>
        <w:t>2</w:t>
      </w:r>
      <w:r w:rsidR="00961928">
        <w:rPr>
          <w:rFonts w:ascii="Century" w:hAnsi="Century"/>
          <w:sz w:val="22"/>
        </w:rPr>
        <w:t>8</w:t>
      </w:r>
      <w:r w:rsidR="007D4C39" w:rsidRPr="007D4C39">
        <w:rPr>
          <w:rFonts w:ascii="Century" w:hAnsi="Century"/>
          <w:sz w:val="22"/>
        </w:rPr>
        <w:t xml:space="preserve"> от </w:t>
      </w:r>
      <w:r w:rsidR="00E01D6A">
        <w:rPr>
          <w:rFonts w:ascii="Century" w:hAnsi="Century"/>
          <w:sz w:val="22"/>
        </w:rPr>
        <w:t>27</w:t>
      </w:r>
      <w:r w:rsidR="007D4C39" w:rsidRPr="007D4C39">
        <w:rPr>
          <w:rFonts w:ascii="Century" w:hAnsi="Century"/>
          <w:sz w:val="22"/>
        </w:rPr>
        <w:t>.</w:t>
      </w:r>
      <w:r w:rsidR="002214CA">
        <w:rPr>
          <w:rFonts w:ascii="Century" w:hAnsi="Century"/>
          <w:sz w:val="22"/>
        </w:rPr>
        <w:t>1</w:t>
      </w:r>
      <w:r w:rsidR="00E01D6A">
        <w:rPr>
          <w:rFonts w:ascii="Century" w:hAnsi="Century"/>
          <w:sz w:val="22"/>
        </w:rPr>
        <w:t>2</w:t>
      </w:r>
      <w:r w:rsidR="00C24D54">
        <w:rPr>
          <w:rFonts w:ascii="Century" w:hAnsi="Century"/>
          <w:sz w:val="22"/>
        </w:rPr>
        <w:t>.</w:t>
      </w:r>
      <w:r w:rsidR="007D4C39" w:rsidRPr="007D4C39">
        <w:rPr>
          <w:rFonts w:ascii="Century" w:hAnsi="Century"/>
          <w:sz w:val="22"/>
        </w:rPr>
        <w:t>2021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8(8352)37-95-50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FC5032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Instagram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FC5032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inceptum21</w:t>
      </w:r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BB" w:rsidRDefault="004D2ABB" w:rsidP="003934F7">
      <w:r>
        <w:separator/>
      </w:r>
    </w:p>
  </w:endnote>
  <w:endnote w:type="continuationSeparator" w:id="0">
    <w:p w:rsidR="004D2ABB" w:rsidRDefault="004D2ABB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BB" w:rsidRDefault="004D2ABB" w:rsidP="003934F7">
      <w:r>
        <w:separator/>
      </w:r>
    </w:p>
  </w:footnote>
  <w:footnote w:type="continuationSeparator" w:id="0">
    <w:p w:rsidR="004D2ABB" w:rsidRDefault="004D2ABB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0CB4"/>
    <w:rsid w:val="002C41B3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2131"/>
    <w:rsid w:val="003B590C"/>
    <w:rsid w:val="003C6ED7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965BB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A2E4-2E4D-41E2-91FF-885C57A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54</cp:revision>
  <cp:lastPrinted>2021-12-29T07:39:00Z</cp:lastPrinted>
  <dcterms:created xsi:type="dcterms:W3CDTF">2021-01-11T10:49:00Z</dcterms:created>
  <dcterms:modified xsi:type="dcterms:W3CDTF">2021-12-29T07:43:00Z</dcterms:modified>
</cp:coreProperties>
</file>